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AE2893" w14:paraId="15BF0869" w14:textId="77777777" w:rsidTr="00AE2893">
        <w:tc>
          <w:tcPr>
            <w:tcW w:w="1581" w:type="dxa"/>
          </w:tcPr>
          <w:p w14:paraId="15BF0867" w14:textId="108BD3C3" w:rsidR="00AE2893" w:rsidRDefault="00AE2893" w:rsidP="00AE2893">
            <w:r>
              <w:t>Last updated:</w:t>
            </w:r>
          </w:p>
        </w:tc>
        <w:tc>
          <w:tcPr>
            <w:tcW w:w="8056" w:type="dxa"/>
          </w:tcPr>
          <w:p w14:paraId="15BF0868" w14:textId="324BF29E" w:rsidR="00AE2893" w:rsidRDefault="00220F33" w:rsidP="00AE2893">
            <w:r>
              <w:t>6 June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15BF086F" w14:textId="77777777" w:rsidTr="73170EC7">
        <w:tc>
          <w:tcPr>
            <w:tcW w:w="2510" w:type="dxa"/>
            <w:shd w:val="clear" w:color="auto" w:fill="D9D9D9" w:themeFill="background1" w:themeFillShade="D9"/>
          </w:tcPr>
          <w:p w14:paraId="15BF086D" w14:textId="77777777" w:rsidR="0012209D" w:rsidRDefault="0012209D" w:rsidP="00321CAA">
            <w:r>
              <w:t>Post title:</w:t>
            </w:r>
          </w:p>
        </w:tc>
        <w:tc>
          <w:tcPr>
            <w:tcW w:w="7117" w:type="dxa"/>
            <w:gridSpan w:val="3"/>
          </w:tcPr>
          <w:p w14:paraId="15BF086E" w14:textId="3D3F78CD" w:rsidR="00C17FDD" w:rsidRPr="00C17FDD" w:rsidRDefault="009C0310" w:rsidP="0065560D">
            <w:r>
              <w:t>Group Financial Controller</w:t>
            </w:r>
          </w:p>
        </w:tc>
      </w:tr>
      <w:tr w:rsidR="009C1EC5" w14:paraId="4C8A120C" w14:textId="77777777" w:rsidTr="73170EC7">
        <w:tc>
          <w:tcPr>
            <w:tcW w:w="2510" w:type="dxa"/>
            <w:shd w:val="clear" w:color="auto" w:fill="D9D9D9" w:themeFill="background1" w:themeFillShade="D9"/>
          </w:tcPr>
          <w:p w14:paraId="356B3446" w14:textId="2046BC22" w:rsidR="009C1EC5" w:rsidRDefault="009C1EC5" w:rsidP="00321CAA">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117" w:type="dxa"/>
            <w:gridSpan w:val="3"/>
          </w:tcPr>
          <w:p w14:paraId="6CC13E90" w14:textId="01313709" w:rsidR="009C1EC5" w:rsidRDefault="14EE4132" w:rsidP="73170EC7">
            <w:pPr>
              <w:rPr>
                <w:rFonts w:eastAsia="Lucida Sans" w:cs="Lucida Sans"/>
                <w:szCs w:val="18"/>
              </w:rPr>
            </w:pPr>
            <w:r w:rsidRPr="73170EC7">
              <w:rPr>
                <w:rFonts w:eastAsia="Lucida Sans" w:cs="Lucida Sans"/>
                <w:color w:val="000000" w:themeColor="text1"/>
                <w:szCs w:val="18"/>
              </w:rPr>
              <w:t xml:space="preserve">Please see </w:t>
            </w:r>
            <w:hyperlink r:id="rId11">
              <w:r w:rsidRPr="73170EC7">
                <w:rPr>
                  <w:rStyle w:val="Hyperlink"/>
                  <w:rFonts w:eastAsia="Lucida Sans" w:cs="Lucida Sans"/>
                  <w:szCs w:val="18"/>
                </w:rPr>
                <w:t>Occupation Codes (SharePoint.com)</w:t>
              </w:r>
            </w:hyperlink>
            <w:r w:rsidRPr="73170EC7">
              <w:rPr>
                <w:rFonts w:eastAsia="Lucida Sans" w:cs="Lucida Sans"/>
                <w:color w:val="000000" w:themeColor="text1"/>
                <w:szCs w:val="18"/>
              </w:rPr>
              <w:t xml:space="preserve"> to help identify a SOC code.</w:t>
            </w:r>
          </w:p>
        </w:tc>
      </w:tr>
      <w:tr w:rsidR="0012209D" w14:paraId="15BF0875" w14:textId="77777777" w:rsidTr="73170EC7">
        <w:tc>
          <w:tcPr>
            <w:tcW w:w="2510" w:type="dxa"/>
            <w:shd w:val="clear" w:color="auto" w:fill="D9D9D9" w:themeFill="background1" w:themeFillShade="D9"/>
          </w:tcPr>
          <w:p w14:paraId="15BF0873" w14:textId="018DD42D" w:rsidR="0012209D" w:rsidRDefault="00CD78B9" w:rsidP="00321CAA">
            <w:r>
              <w:t>School/Department</w:t>
            </w:r>
            <w:r w:rsidR="0012209D">
              <w:t>:</w:t>
            </w:r>
          </w:p>
        </w:tc>
        <w:tc>
          <w:tcPr>
            <w:tcW w:w="7117" w:type="dxa"/>
            <w:gridSpan w:val="3"/>
          </w:tcPr>
          <w:p w14:paraId="15BF0874" w14:textId="32D958D8" w:rsidR="0012209D" w:rsidRDefault="009C0310" w:rsidP="00321CAA">
            <w:r>
              <w:t>Finance</w:t>
            </w:r>
          </w:p>
        </w:tc>
      </w:tr>
      <w:tr w:rsidR="00746AEB" w14:paraId="07201851" w14:textId="77777777" w:rsidTr="73170EC7">
        <w:tc>
          <w:tcPr>
            <w:tcW w:w="2510" w:type="dxa"/>
            <w:shd w:val="clear" w:color="auto" w:fill="D9D9D9" w:themeFill="background1" w:themeFillShade="D9"/>
          </w:tcPr>
          <w:p w14:paraId="158400D7" w14:textId="4B829CEE" w:rsidR="00746AEB" w:rsidRDefault="00746AEB" w:rsidP="00321CAA">
            <w:r>
              <w:t>Faculty:</w:t>
            </w:r>
          </w:p>
        </w:tc>
        <w:tc>
          <w:tcPr>
            <w:tcW w:w="7117" w:type="dxa"/>
            <w:gridSpan w:val="3"/>
          </w:tcPr>
          <w:p w14:paraId="7A897A27" w14:textId="77578A1C" w:rsidR="00746AEB" w:rsidRDefault="009C0310" w:rsidP="00321CAA">
            <w:r>
              <w:t>Professional Services</w:t>
            </w:r>
          </w:p>
        </w:tc>
      </w:tr>
      <w:tr w:rsidR="0012209D" w14:paraId="15BF087A" w14:textId="77777777" w:rsidTr="73170EC7">
        <w:tc>
          <w:tcPr>
            <w:tcW w:w="2510" w:type="dxa"/>
            <w:shd w:val="clear" w:color="auto" w:fill="D9D9D9" w:themeFill="background1" w:themeFillShade="D9"/>
          </w:tcPr>
          <w:p w14:paraId="15BF0876" w14:textId="44B3D55B" w:rsidR="0012209D" w:rsidRDefault="00746AEB" w:rsidP="00746AEB">
            <w:r>
              <w:t>Career P</w:t>
            </w:r>
            <w:r w:rsidR="0012209D">
              <w:t>athway:</w:t>
            </w:r>
          </w:p>
        </w:tc>
        <w:tc>
          <w:tcPr>
            <w:tcW w:w="4549" w:type="dxa"/>
          </w:tcPr>
          <w:p w14:paraId="15BF0877" w14:textId="599B6633" w:rsidR="0012209D" w:rsidRDefault="00E37792" w:rsidP="00FF246F">
            <w:r>
              <w:t>Management, Specialist and Administrative (MSA)</w:t>
            </w:r>
          </w:p>
        </w:tc>
        <w:tc>
          <w:tcPr>
            <w:tcW w:w="845" w:type="dxa"/>
            <w:shd w:val="clear" w:color="auto" w:fill="D9D9D9" w:themeFill="background1" w:themeFillShade="D9"/>
          </w:tcPr>
          <w:p w14:paraId="15BF0878" w14:textId="77777777" w:rsidR="0012209D" w:rsidRDefault="0012209D" w:rsidP="00321CAA">
            <w:r>
              <w:t>Level:</w:t>
            </w:r>
          </w:p>
        </w:tc>
        <w:tc>
          <w:tcPr>
            <w:tcW w:w="1723" w:type="dxa"/>
          </w:tcPr>
          <w:p w14:paraId="15BF0879" w14:textId="3F99814F" w:rsidR="0012209D" w:rsidRDefault="00573785" w:rsidP="00321CAA">
            <w:r>
              <w:t>7</w:t>
            </w:r>
          </w:p>
        </w:tc>
      </w:tr>
      <w:tr w:rsidR="0012209D" w14:paraId="15BF0881" w14:textId="77777777" w:rsidTr="73170EC7">
        <w:tc>
          <w:tcPr>
            <w:tcW w:w="2510" w:type="dxa"/>
            <w:shd w:val="clear" w:color="auto" w:fill="D9D9D9" w:themeFill="background1" w:themeFillShade="D9"/>
          </w:tcPr>
          <w:p w14:paraId="15BF087F" w14:textId="77777777" w:rsidR="0012209D" w:rsidRDefault="0012209D" w:rsidP="00321CAA">
            <w:r>
              <w:t>Posts responsible to:</w:t>
            </w:r>
          </w:p>
        </w:tc>
        <w:tc>
          <w:tcPr>
            <w:tcW w:w="7117" w:type="dxa"/>
            <w:gridSpan w:val="3"/>
          </w:tcPr>
          <w:p w14:paraId="15BF0880" w14:textId="4ECF4A9F" w:rsidR="0012209D" w:rsidRPr="005508A2" w:rsidRDefault="009C0310" w:rsidP="00321CAA">
            <w:r>
              <w:t>Executive Director of Finance</w:t>
            </w:r>
          </w:p>
        </w:tc>
      </w:tr>
      <w:tr w:rsidR="0012209D" w14:paraId="15BF0884" w14:textId="77777777" w:rsidTr="73170EC7">
        <w:tc>
          <w:tcPr>
            <w:tcW w:w="2510" w:type="dxa"/>
            <w:shd w:val="clear" w:color="auto" w:fill="D9D9D9" w:themeFill="background1" w:themeFillShade="D9"/>
          </w:tcPr>
          <w:p w14:paraId="15BF0882" w14:textId="77777777" w:rsidR="0012209D" w:rsidRDefault="0012209D" w:rsidP="00321CAA">
            <w:r>
              <w:t>Posts responsible for:</w:t>
            </w:r>
          </w:p>
        </w:tc>
        <w:tc>
          <w:tcPr>
            <w:tcW w:w="7117" w:type="dxa"/>
            <w:gridSpan w:val="3"/>
          </w:tcPr>
          <w:p w14:paraId="15BF0883" w14:textId="1D3258AE" w:rsidR="0012209D" w:rsidRPr="005508A2" w:rsidRDefault="00E23E66" w:rsidP="00321CAA">
            <w:r>
              <w:t>Team of c 60</w:t>
            </w:r>
          </w:p>
        </w:tc>
      </w:tr>
      <w:tr w:rsidR="0012209D" w14:paraId="15BF0887" w14:textId="77777777" w:rsidTr="73170EC7">
        <w:tc>
          <w:tcPr>
            <w:tcW w:w="2510" w:type="dxa"/>
            <w:shd w:val="clear" w:color="auto" w:fill="D9D9D9" w:themeFill="background1" w:themeFillShade="D9"/>
          </w:tcPr>
          <w:p w14:paraId="15BF0885" w14:textId="77777777" w:rsidR="0012209D" w:rsidRDefault="0012209D" w:rsidP="00321CAA">
            <w:r>
              <w:t>Post base:</w:t>
            </w:r>
          </w:p>
        </w:tc>
        <w:tc>
          <w:tcPr>
            <w:tcW w:w="7117" w:type="dxa"/>
            <w:gridSpan w:val="3"/>
          </w:tcPr>
          <w:p w14:paraId="15BF0886" w14:textId="5EE34E1F" w:rsidR="0012209D" w:rsidRPr="005508A2" w:rsidRDefault="00F000EA" w:rsidP="0057378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E46A952" w14:textId="42E04D89" w:rsidR="009C0310" w:rsidRDefault="009C0310" w:rsidP="001E7484">
            <w:pPr>
              <w:overflowPunct/>
              <w:autoSpaceDE/>
              <w:autoSpaceDN/>
              <w:adjustRightInd/>
              <w:spacing w:before="0" w:after="21" w:line="251" w:lineRule="auto"/>
              <w:ind w:right="132"/>
              <w:jc w:val="both"/>
              <w:textAlignment w:val="auto"/>
            </w:pPr>
            <w:r>
              <w:t>The Group Financial Controller has strategic responsibility for Treasury management, Tax, Financial Accounting</w:t>
            </w:r>
            <w:r w:rsidR="0061289C">
              <w:t xml:space="preserve"> including internal and external audit</w:t>
            </w:r>
            <w:r>
              <w:t xml:space="preserve">, Finance Operations (AP, AR, Finance Systems) and Pensions including University Company Secretarial responsibilities for the University of </w:t>
            </w:r>
            <w:r w:rsidR="0061289C">
              <w:t xml:space="preserve">Southampton </w:t>
            </w:r>
            <w:r>
              <w:t>subsidiary companies</w:t>
            </w:r>
            <w:r w:rsidR="0061289C">
              <w:t xml:space="preserve"> and group structure</w:t>
            </w:r>
            <w:r>
              <w:t xml:space="preserve">. </w:t>
            </w:r>
            <w:r w:rsidR="00093ED5">
              <w:t xml:space="preserve"> </w:t>
            </w:r>
            <w:r>
              <w:t xml:space="preserve">The Group Financial Controller </w:t>
            </w:r>
            <w:r w:rsidR="0061289C">
              <w:t xml:space="preserve">will </w:t>
            </w:r>
            <w:r>
              <w:t>provide exceptional collaborative leadership ensuring a high level of service to stakeholders through a unified and service-orientated culture</w:t>
            </w:r>
            <w:r w:rsidR="001E7484">
              <w:t xml:space="preserve"> via the development and implementation of financial strategies to underpin the University’s ambitious strategy</w:t>
            </w:r>
            <w:r w:rsidR="00883E63">
              <w:t>.</w:t>
            </w:r>
          </w:p>
          <w:p w14:paraId="7A7D0EDF" w14:textId="77777777" w:rsidR="00883E63" w:rsidRDefault="00883E63" w:rsidP="001E7484">
            <w:pPr>
              <w:overflowPunct/>
              <w:autoSpaceDE/>
              <w:autoSpaceDN/>
              <w:adjustRightInd/>
              <w:spacing w:before="0" w:after="21" w:line="251" w:lineRule="auto"/>
              <w:ind w:right="132"/>
              <w:jc w:val="both"/>
              <w:textAlignment w:val="auto"/>
            </w:pPr>
          </w:p>
          <w:p w14:paraId="0E7E6062" w14:textId="77777777" w:rsidR="00883E63" w:rsidRDefault="009C0310" w:rsidP="00883E63">
            <w:pPr>
              <w:spacing w:after="180" w:line="252" w:lineRule="auto"/>
            </w:pPr>
            <w:r>
              <w:t xml:space="preserve">The role ensures the highest standards of probity and financial integrity, strong governance and the application of good financial practice and robust controls. </w:t>
            </w:r>
            <w:r w:rsidR="0061289C">
              <w:t xml:space="preserve">The role is </w:t>
            </w:r>
            <w:r>
              <w:t xml:space="preserve">responsible for high quality external financial reporting to the Office for Students, Companies House, HM Revenue and Customs, Financial Conduct Authority, Office for National </w:t>
            </w:r>
            <w:proofErr w:type="gramStart"/>
            <w:r>
              <w:t>Statistics</w:t>
            </w:r>
            <w:proofErr w:type="gramEnd"/>
            <w:r>
              <w:t xml:space="preserve"> and other regulatory bodies. </w:t>
            </w:r>
            <w:r w:rsidR="004A132F">
              <w:t>The</w:t>
            </w:r>
            <w:r w:rsidR="00C067C7">
              <w:t xml:space="preserve"> role </w:t>
            </w:r>
            <w:r w:rsidR="000D2771">
              <w:t xml:space="preserve">will </w:t>
            </w:r>
            <w:r w:rsidR="006460A3">
              <w:t xml:space="preserve">oversee both </w:t>
            </w:r>
            <w:r w:rsidR="00CA3574">
              <w:t>internal and external audit relationships and provide leadership and support to</w:t>
            </w:r>
            <w:r w:rsidR="00107363">
              <w:t xml:space="preserve"> governing bodies, in </w:t>
            </w:r>
            <w:r w:rsidR="000D2771">
              <w:t>particular Audit</w:t>
            </w:r>
            <w:r w:rsidR="00CA3574">
              <w:t xml:space="preserve"> and </w:t>
            </w:r>
            <w:r w:rsidR="00107363">
              <w:t>Investment</w:t>
            </w:r>
            <w:r w:rsidR="00CA3574">
              <w:t xml:space="preserve"> </w:t>
            </w:r>
            <w:r w:rsidR="00107363">
              <w:t>committees.</w:t>
            </w:r>
            <w:r w:rsidR="00883E63">
              <w:t xml:space="preserve"> An important focus will be the provision of high-quality financial planning (specifically balance sheet and cashflow management), modelling and analytical capability and advice to support decision making as well as ensuring appropriate compliance and governance is maintained and followed. </w:t>
            </w:r>
          </w:p>
          <w:p w14:paraId="15BF088B" w14:textId="65283D22" w:rsidR="005D3265" w:rsidRPr="005D3265" w:rsidRDefault="005D3265" w:rsidP="00883E63">
            <w:pPr>
              <w:spacing w:after="180" w:line="252" w:lineRule="auto"/>
              <w:rPr>
                <w:color w:val="FF0000"/>
              </w:rPr>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066675">
        <w:trPr>
          <w:cantSplit/>
          <w:tblHeader/>
        </w:trPr>
        <w:tc>
          <w:tcPr>
            <w:tcW w:w="8609"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A07341" w14:paraId="3FAF2A9E" w14:textId="77777777" w:rsidTr="00066675">
        <w:trPr>
          <w:cantSplit/>
        </w:trPr>
        <w:tc>
          <w:tcPr>
            <w:tcW w:w="599" w:type="dxa"/>
            <w:tcBorders>
              <w:right w:val="nil"/>
            </w:tcBorders>
          </w:tcPr>
          <w:p w14:paraId="6E7ABD82" w14:textId="77777777" w:rsidR="00A07341" w:rsidRDefault="00A07341" w:rsidP="0012209D">
            <w:pPr>
              <w:pStyle w:val="ListParagraph"/>
              <w:numPr>
                <w:ilvl w:val="0"/>
                <w:numId w:val="17"/>
              </w:numPr>
            </w:pPr>
          </w:p>
        </w:tc>
        <w:tc>
          <w:tcPr>
            <w:tcW w:w="8010" w:type="dxa"/>
            <w:tcBorders>
              <w:left w:val="nil"/>
            </w:tcBorders>
          </w:tcPr>
          <w:p w14:paraId="75C515BD" w14:textId="17A0D2E5" w:rsidR="00A07341" w:rsidRDefault="00A07341" w:rsidP="00321CAA">
            <w:r>
              <w:t xml:space="preserve">To lead and be responsible for the Treasury Management function, delivering and ensuring the strategy and underlying policies support the University’s ambitions and provides focus on managing the University’s portfolio to include cash, investment, and borrowing.  To lead the strategic relationship with the University’s bankers, lenders and advisors to ensure optimal management of </w:t>
            </w:r>
            <w:proofErr w:type="gramStart"/>
            <w:r>
              <w:t>University</w:t>
            </w:r>
            <w:proofErr w:type="gramEnd"/>
            <w:r>
              <w:t xml:space="preserve"> resources in the short and long term based on forecast cash flow needs of the organisation based on the 5-year financial and capital plan.</w:t>
            </w:r>
          </w:p>
        </w:tc>
        <w:tc>
          <w:tcPr>
            <w:tcW w:w="1018" w:type="dxa"/>
          </w:tcPr>
          <w:p w14:paraId="24DFFB0F" w14:textId="16D4FEB8" w:rsidR="00A07341" w:rsidRDefault="003E46C7" w:rsidP="00321CAA">
            <w:r>
              <w:t>15</w:t>
            </w:r>
            <w:r w:rsidR="00C82B61">
              <w:t>%</w:t>
            </w:r>
          </w:p>
        </w:tc>
      </w:tr>
      <w:tr w:rsidR="00066675" w14:paraId="0F26D9EE" w14:textId="77777777" w:rsidTr="00066675">
        <w:trPr>
          <w:cantSplit/>
        </w:trPr>
        <w:tc>
          <w:tcPr>
            <w:tcW w:w="599" w:type="dxa"/>
            <w:tcBorders>
              <w:right w:val="nil"/>
            </w:tcBorders>
          </w:tcPr>
          <w:p w14:paraId="2B03D5E9" w14:textId="77777777" w:rsidR="00066675" w:rsidRDefault="00066675" w:rsidP="0012209D">
            <w:pPr>
              <w:pStyle w:val="ListParagraph"/>
              <w:numPr>
                <w:ilvl w:val="0"/>
                <w:numId w:val="17"/>
              </w:numPr>
            </w:pPr>
          </w:p>
        </w:tc>
        <w:tc>
          <w:tcPr>
            <w:tcW w:w="8010" w:type="dxa"/>
            <w:tcBorders>
              <w:left w:val="nil"/>
            </w:tcBorders>
          </w:tcPr>
          <w:p w14:paraId="4D320F14" w14:textId="64717DF0" w:rsidR="00066675" w:rsidRDefault="009858DE" w:rsidP="00321CAA">
            <w:r>
              <w:t>To lead and be responsible for the</w:t>
            </w:r>
            <w:r w:rsidRPr="008D060A">
              <w:t xml:space="preserve"> delivery of the </w:t>
            </w:r>
            <w:r>
              <w:t>external audit and year-end Financial Statements for the University Group,</w:t>
            </w:r>
            <w:r w:rsidRPr="008D060A">
              <w:t xml:space="preserve"> through working closely with the </w:t>
            </w:r>
            <w:r>
              <w:t>Executive Director of Finance</w:t>
            </w:r>
            <w:r w:rsidRPr="008D060A">
              <w:t xml:space="preserve"> and other UE</w:t>
            </w:r>
            <w:r>
              <w:t>B</w:t>
            </w:r>
            <w:r w:rsidRPr="008D060A">
              <w:t xml:space="preserve"> members and the </w:t>
            </w:r>
            <w:r>
              <w:t xml:space="preserve">Chairs of Audit and Finance Committees </w:t>
            </w:r>
          </w:p>
        </w:tc>
        <w:tc>
          <w:tcPr>
            <w:tcW w:w="1018" w:type="dxa"/>
          </w:tcPr>
          <w:p w14:paraId="14795E64" w14:textId="46AFAB7D" w:rsidR="00066675" w:rsidRDefault="003E46C7" w:rsidP="00321CAA">
            <w:r>
              <w:t>1</w:t>
            </w:r>
            <w:r w:rsidR="009858DE">
              <w:t>5</w:t>
            </w:r>
            <w:r w:rsidR="00C82B61">
              <w:t>%</w:t>
            </w:r>
          </w:p>
        </w:tc>
      </w:tr>
      <w:tr w:rsidR="0012209D" w14:paraId="15BF0894" w14:textId="77777777" w:rsidTr="00066675">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4FAA3BEA" w:rsidR="0012209D" w:rsidRDefault="009858DE" w:rsidP="00321CAA">
            <w:r>
              <w:t>Responsible for the provision of technical accounting advice and modelling to support the University in its strategic and operational decision-making strategy and policy formation. This extends to pensions management and advice and any other technical accounting treatments in line with the applicable Statement of Recommended Practice and Financial Reporting Standards.</w:t>
            </w:r>
          </w:p>
        </w:tc>
        <w:tc>
          <w:tcPr>
            <w:tcW w:w="1018" w:type="dxa"/>
          </w:tcPr>
          <w:p w14:paraId="15BF0893" w14:textId="6E18B30E" w:rsidR="0012209D" w:rsidRDefault="003E46C7" w:rsidP="00321CAA">
            <w:r>
              <w:t>1</w:t>
            </w:r>
            <w:r w:rsidR="009858DE">
              <w:t>0</w:t>
            </w:r>
            <w:r w:rsidR="00343D93">
              <w:t xml:space="preserve"> %</w:t>
            </w:r>
          </w:p>
        </w:tc>
      </w:tr>
      <w:tr w:rsidR="0012209D" w14:paraId="15BF0898" w14:textId="77777777" w:rsidTr="00066675">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444BFE28" w14:textId="77777777" w:rsidR="0012209D" w:rsidRDefault="00066675" w:rsidP="00A07341">
            <w:pPr>
              <w:overflowPunct/>
              <w:autoSpaceDE/>
              <w:autoSpaceDN/>
              <w:adjustRightInd/>
              <w:spacing w:before="0" w:after="21" w:line="251" w:lineRule="auto"/>
              <w:ind w:right="132"/>
              <w:jc w:val="both"/>
              <w:textAlignment w:val="auto"/>
            </w:pPr>
            <w:r>
              <w:t>To lead and be responsible for maintaining an efficient and effective financial control framework across the University with relevant and clearly drafted Financial Regulations and Policies supported by a financial assurance map and innovative system related controls and processes,</w:t>
            </w:r>
            <w:r w:rsidRPr="00E877EA">
              <w:t xml:space="preserve"> </w:t>
            </w:r>
            <w:r>
              <w:t>which demonstrate a customer focused services that encourages compliance. Ensuring that regular training and guidance is provided to staff and stakeholders as required.</w:t>
            </w:r>
          </w:p>
          <w:p w14:paraId="7AF73FE0" w14:textId="77777777" w:rsidR="00066675" w:rsidRDefault="00066675" w:rsidP="00A07341">
            <w:pPr>
              <w:overflowPunct/>
              <w:autoSpaceDE/>
              <w:autoSpaceDN/>
              <w:adjustRightInd/>
              <w:spacing w:before="0" w:after="21" w:line="251" w:lineRule="auto"/>
              <w:ind w:right="132"/>
              <w:jc w:val="both"/>
              <w:textAlignment w:val="auto"/>
            </w:pPr>
          </w:p>
          <w:p w14:paraId="15BF0896" w14:textId="0168692C" w:rsidR="00066675" w:rsidRDefault="00066675" w:rsidP="00A07341">
            <w:pPr>
              <w:overflowPunct/>
              <w:autoSpaceDE/>
              <w:autoSpaceDN/>
              <w:adjustRightInd/>
              <w:spacing w:before="0" w:after="21" w:line="251" w:lineRule="auto"/>
              <w:ind w:right="132"/>
              <w:jc w:val="both"/>
              <w:textAlignment w:val="auto"/>
            </w:pPr>
            <w:r>
              <w:t>To act as the anti-fraud officer on behalf of the Executive Director of Finance overseeing the day-to-day management of the University fraud network related matters escalating as set out in the Fraud policies.  Responsibility for developing and implementing a robust Fraud framework with supporting policy and plans for Executive Director of Finance and Audit Committee consideration.</w:t>
            </w:r>
          </w:p>
        </w:tc>
        <w:tc>
          <w:tcPr>
            <w:tcW w:w="1018" w:type="dxa"/>
          </w:tcPr>
          <w:p w14:paraId="15BF0897" w14:textId="3AA2B898" w:rsidR="0012209D" w:rsidRDefault="003E46C7" w:rsidP="00321CAA">
            <w:r>
              <w:t>10</w:t>
            </w:r>
            <w:r w:rsidR="00343D93">
              <w:t xml:space="preserve"> %</w:t>
            </w:r>
          </w:p>
        </w:tc>
      </w:tr>
      <w:tr w:rsidR="0012209D" w14:paraId="15BF089C" w14:textId="77777777" w:rsidTr="00066675">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12236CD0" w:rsidR="00A07341" w:rsidRDefault="00A07341" w:rsidP="00066675">
            <w:pPr>
              <w:overflowPunct/>
              <w:autoSpaceDE/>
              <w:autoSpaceDN/>
              <w:adjustRightInd/>
              <w:spacing w:before="0" w:after="21" w:line="251" w:lineRule="auto"/>
              <w:ind w:right="132"/>
              <w:jc w:val="both"/>
              <w:textAlignment w:val="auto"/>
            </w:pPr>
            <w:r>
              <w:t>Responsible for the safeguarding of the University’s assets via effective monitoring and control of the University’s assets and inventory in liaison with other Professional Service Areas to include the Director of IT, Director of Estates and Facilities and Faculty Business Managers</w:t>
            </w:r>
            <w:r w:rsidR="00066675">
              <w:t xml:space="preserve"> supporting by clear financial policies and processes.</w:t>
            </w:r>
          </w:p>
        </w:tc>
        <w:tc>
          <w:tcPr>
            <w:tcW w:w="1018" w:type="dxa"/>
          </w:tcPr>
          <w:p w14:paraId="15BF089B" w14:textId="7FE326D3" w:rsidR="0012209D" w:rsidRDefault="003E46C7" w:rsidP="00321CAA">
            <w:r>
              <w:t>10</w:t>
            </w:r>
            <w:r w:rsidR="00343D93">
              <w:t xml:space="preserve"> %</w:t>
            </w:r>
          </w:p>
        </w:tc>
      </w:tr>
      <w:tr w:rsidR="0012209D" w14:paraId="15BF08A0" w14:textId="77777777" w:rsidTr="00066675">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365391BA" w:rsidR="0012209D" w:rsidRDefault="00A07341" w:rsidP="00A07341">
            <w:pPr>
              <w:overflowPunct/>
              <w:autoSpaceDE/>
              <w:autoSpaceDN/>
              <w:adjustRightInd/>
              <w:spacing w:before="0" w:after="21" w:line="251" w:lineRule="auto"/>
              <w:ind w:right="132"/>
              <w:jc w:val="both"/>
              <w:textAlignment w:val="auto"/>
            </w:pPr>
            <w:r>
              <w:t>Responsible for ensuring that the University’s financial systems and reporting mechanisms - including statutory reporting requirements - are robust and effective. Taking</w:t>
            </w:r>
            <w:r w:rsidR="00066675">
              <w:t xml:space="preserve"> r</w:t>
            </w:r>
            <w:r>
              <w:t>esponsibility and ownership for the finance systems, representing the requirements of both the business and the users. Responsible for ensuring the quality of underlying data in finance systems</w:t>
            </w:r>
            <w:r w:rsidR="00066675">
              <w:t xml:space="preserve"> and wider data </w:t>
            </w:r>
            <w:proofErr w:type="gramStart"/>
            <w:r w:rsidR="00066675">
              <w:t>integrations.</w:t>
            </w:r>
            <w:r>
              <w:t>.</w:t>
            </w:r>
            <w:proofErr w:type="gramEnd"/>
            <w:r>
              <w:t xml:space="preserve"> </w:t>
            </w:r>
          </w:p>
        </w:tc>
        <w:tc>
          <w:tcPr>
            <w:tcW w:w="1018" w:type="dxa"/>
          </w:tcPr>
          <w:p w14:paraId="15BF089F" w14:textId="409E62D9" w:rsidR="0012209D" w:rsidRDefault="003E46C7" w:rsidP="00321CAA">
            <w:r>
              <w:t>10</w:t>
            </w:r>
            <w:r w:rsidR="00343D93">
              <w:t xml:space="preserve"> %</w:t>
            </w:r>
          </w:p>
        </w:tc>
      </w:tr>
      <w:tr w:rsidR="00066675" w14:paraId="66158F24" w14:textId="77777777" w:rsidTr="00066675">
        <w:trPr>
          <w:cantSplit/>
        </w:trPr>
        <w:tc>
          <w:tcPr>
            <w:tcW w:w="599" w:type="dxa"/>
            <w:tcBorders>
              <w:right w:val="nil"/>
            </w:tcBorders>
          </w:tcPr>
          <w:p w14:paraId="6542A16E" w14:textId="77777777" w:rsidR="00066675" w:rsidRDefault="00066675" w:rsidP="0012209D">
            <w:pPr>
              <w:pStyle w:val="ListParagraph"/>
              <w:numPr>
                <w:ilvl w:val="0"/>
                <w:numId w:val="17"/>
              </w:numPr>
            </w:pPr>
          </w:p>
        </w:tc>
        <w:tc>
          <w:tcPr>
            <w:tcW w:w="8010" w:type="dxa"/>
            <w:tcBorders>
              <w:left w:val="nil"/>
            </w:tcBorders>
          </w:tcPr>
          <w:p w14:paraId="4837EE00" w14:textId="32930F13" w:rsidR="00066675" w:rsidRDefault="00007574" w:rsidP="00A07341">
            <w:pPr>
              <w:overflowPunct/>
              <w:autoSpaceDE/>
              <w:autoSpaceDN/>
              <w:adjustRightInd/>
              <w:spacing w:before="0" w:after="21" w:line="251" w:lineRule="auto"/>
              <w:ind w:right="132"/>
              <w:jc w:val="both"/>
              <w:textAlignment w:val="auto"/>
            </w:pPr>
            <w:r>
              <w:t xml:space="preserve">To lead and be responsible </w:t>
            </w:r>
            <w:r w:rsidRPr="00880BEE">
              <w:t xml:space="preserve">for the </w:t>
            </w:r>
            <w:r>
              <w:t xml:space="preserve">Finance Operations teams which includes Commercial credit control, </w:t>
            </w:r>
            <w:proofErr w:type="gramStart"/>
            <w:r>
              <w:t>Payments</w:t>
            </w:r>
            <w:proofErr w:type="gramEnd"/>
            <w:r>
              <w:t xml:space="preserve"> and the Student Accounts Team, to ensure that delivery a customer focused service to internal and external stakeholders, in line with the University objectives, strategy and policy.</w:t>
            </w:r>
          </w:p>
        </w:tc>
        <w:tc>
          <w:tcPr>
            <w:tcW w:w="1018" w:type="dxa"/>
          </w:tcPr>
          <w:p w14:paraId="24B24534" w14:textId="713F9B8C" w:rsidR="00066675" w:rsidRDefault="00007574" w:rsidP="00304A82">
            <w:pPr>
              <w:spacing w:line="360" w:lineRule="auto"/>
            </w:pPr>
            <w:r>
              <w:t>10</w:t>
            </w:r>
            <w:r w:rsidR="003E46C7">
              <w:t>%</w:t>
            </w:r>
          </w:p>
        </w:tc>
      </w:tr>
      <w:tr w:rsidR="00066675" w14:paraId="567034E4" w14:textId="77777777" w:rsidTr="00066675">
        <w:trPr>
          <w:cantSplit/>
        </w:trPr>
        <w:tc>
          <w:tcPr>
            <w:tcW w:w="599" w:type="dxa"/>
            <w:tcBorders>
              <w:right w:val="nil"/>
            </w:tcBorders>
          </w:tcPr>
          <w:p w14:paraId="316EF70A" w14:textId="77777777" w:rsidR="00066675" w:rsidRDefault="00066675" w:rsidP="0012209D">
            <w:pPr>
              <w:pStyle w:val="ListParagraph"/>
              <w:numPr>
                <w:ilvl w:val="0"/>
                <w:numId w:val="17"/>
              </w:numPr>
            </w:pPr>
          </w:p>
        </w:tc>
        <w:tc>
          <w:tcPr>
            <w:tcW w:w="8010" w:type="dxa"/>
            <w:tcBorders>
              <w:left w:val="nil"/>
            </w:tcBorders>
          </w:tcPr>
          <w:p w14:paraId="0908105B" w14:textId="38A56BCE" w:rsidR="00066675" w:rsidRDefault="00007574" w:rsidP="00066675">
            <w:pPr>
              <w:overflowPunct/>
              <w:autoSpaceDE/>
              <w:autoSpaceDN/>
              <w:adjustRightInd/>
              <w:spacing w:before="0" w:after="21" w:line="251" w:lineRule="auto"/>
              <w:ind w:right="132"/>
              <w:jc w:val="both"/>
              <w:textAlignment w:val="auto"/>
            </w:pPr>
            <w:r>
              <w:t>To lead and be responsible for the Tax strategy and function to ensure it is conducted efficiently and effectively, with a tax strategy that supports the University’s ambitions and extends to ensuring the function is suitably positioned to respond to, and advise on, dealing with international markets.</w:t>
            </w:r>
          </w:p>
        </w:tc>
        <w:tc>
          <w:tcPr>
            <w:tcW w:w="1018" w:type="dxa"/>
          </w:tcPr>
          <w:p w14:paraId="15681EBF" w14:textId="3EC56057" w:rsidR="00066675" w:rsidRDefault="00007574" w:rsidP="00321CAA">
            <w:r>
              <w:t>5</w:t>
            </w:r>
            <w:r w:rsidR="003E46C7">
              <w:t>%</w:t>
            </w:r>
          </w:p>
        </w:tc>
      </w:tr>
      <w:tr w:rsidR="0012209D" w14:paraId="15BF08A4" w14:textId="77777777" w:rsidTr="00066675">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6C9F4952" w:rsidR="0012209D" w:rsidRDefault="00A07341" w:rsidP="00A07341">
            <w:pPr>
              <w:overflowPunct/>
              <w:autoSpaceDE/>
              <w:autoSpaceDN/>
              <w:adjustRightInd/>
              <w:spacing w:before="0" w:after="21" w:line="251" w:lineRule="auto"/>
              <w:ind w:right="132"/>
              <w:jc w:val="both"/>
              <w:textAlignment w:val="auto"/>
            </w:pPr>
            <w:r>
              <w:t xml:space="preserve">Working with </w:t>
            </w:r>
            <w:r w:rsidR="00066675">
              <w:t xml:space="preserve">colleagues across the Finance Leadership team </w:t>
            </w:r>
            <w:r>
              <w:t xml:space="preserve">to ensure that financial information is timely, accurate, relevant, reflects appropriate technical accounting treatments and, where required, seamlessly integrated with people and space information so that it fully supports the University’s strategic planning processes and monitoring of ongoing performance. </w:t>
            </w:r>
          </w:p>
        </w:tc>
        <w:tc>
          <w:tcPr>
            <w:tcW w:w="1018" w:type="dxa"/>
          </w:tcPr>
          <w:p w14:paraId="15BF08A3" w14:textId="52349E96" w:rsidR="0012209D" w:rsidRDefault="003E46C7" w:rsidP="00321CAA">
            <w:r>
              <w:t>5</w:t>
            </w:r>
            <w:r w:rsidR="00343D93">
              <w:t xml:space="preserve"> %</w:t>
            </w:r>
          </w:p>
        </w:tc>
      </w:tr>
      <w:tr w:rsidR="00EE350A" w14:paraId="567DB108" w14:textId="77777777" w:rsidTr="00066675">
        <w:trPr>
          <w:cantSplit/>
        </w:trPr>
        <w:tc>
          <w:tcPr>
            <w:tcW w:w="599" w:type="dxa"/>
            <w:tcBorders>
              <w:right w:val="nil"/>
            </w:tcBorders>
          </w:tcPr>
          <w:p w14:paraId="1E3D80C3" w14:textId="77777777" w:rsidR="00EE350A" w:rsidRDefault="00EE350A" w:rsidP="00671F76">
            <w:pPr>
              <w:pStyle w:val="ListParagraph"/>
              <w:numPr>
                <w:ilvl w:val="0"/>
                <w:numId w:val="17"/>
              </w:numPr>
            </w:pPr>
          </w:p>
        </w:tc>
        <w:tc>
          <w:tcPr>
            <w:tcW w:w="8010" w:type="dxa"/>
            <w:tcBorders>
              <w:left w:val="nil"/>
            </w:tcBorders>
          </w:tcPr>
          <w:p w14:paraId="388183EB" w14:textId="61F655C4" w:rsidR="00EE350A" w:rsidRPr="00671F76" w:rsidRDefault="0061289C" w:rsidP="00CA4E17">
            <w:pPr>
              <w:overflowPunct/>
              <w:autoSpaceDE/>
              <w:autoSpaceDN/>
              <w:adjustRightInd/>
              <w:spacing w:before="0" w:after="21" w:line="252" w:lineRule="auto"/>
              <w:ind w:right="130"/>
              <w:jc w:val="both"/>
              <w:textAlignment w:val="auto"/>
            </w:pPr>
            <w:r>
              <w:t xml:space="preserve">Fostering a leadership culture across the finance department that </w:t>
            </w:r>
            <w:r w:rsidR="00066675">
              <w:t xml:space="preserve">is </w:t>
            </w:r>
            <w:r>
              <w:t xml:space="preserve">supported by a focus on performance, accountability, </w:t>
            </w:r>
            <w:proofErr w:type="gramStart"/>
            <w:r>
              <w:t>innovation</w:t>
            </w:r>
            <w:proofErr w:type="gramEnd"/>
            <w:r>
              <w:t xml:space="preserve"> and continuous improvement and underpinned by customer service and striving for value for money in all that we do.  </w:t>
            </w:r>
          </w:p>
        </w:tc>
        <w:tc>
          <w:tcPr>
            <w:tcW w:w="1018" w:type="dxa"/>
          </w:tcPr>
          <w:p w14:paraId="5BAEA85C" w14:textId="7C1AE37A" w:rsidR="00EE350A" w:rsidRDefault="003E46C7" w:rsidP="00671F76">
            <w:r>
              <w:t>5</w:t>
            </w:r>
            <w:r w:rsidR="00EE350A">
              <w:t xml:space="preserve"> %</w:t>
            </w:r>
          </w:p>
        </w:tc>
      </w:tr>
      <w:tr w:rsidR="00671F76" w14:paraId="02C51BD6" w14:textId="77777777" w:rsidTr="00066675">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40183DEA" w:rsidR="00671F76" w:rsidRDefault="003E46C7"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65FF69F5" w14:textId="19FA2A6B" w:rsidR="00385622" w:rsidRDefault="00385622" w:rsidP="00C31B06">
            <w:r>
              <w:t>Departmental and University senior management</w:t>
            </w:r>
          </w:p>
          <w:p w14:paraId="562C97A2" w14:textId="7076D018" w:rsidR="00C31B06" w:rsidRDefault="00C31B06" w:rsidP="00C31B06">
            <w:r>
              <w:t xml:space="preserve">Other members of </w:t>
            </w:r>
            <w:r w:rsidR="00385622">
              <w:t>the department/University staff</w:t>
            </w:r>
          </w:p>
          <w:p w14:paraId="6BE57738" w14:textId="0798DC14" w:rsidR="00CA4E17" w:rsidRDefault="00CA4E17" w:rsidP="00C31B06">
            <w:r>
              <w:t xml:space="preserve">Connected across the HE Sector and sector bodies and </w:t>
            </w:r>
            <w:proofErr w:type="gramStart"/>
            <w:r>
              <w:t>groups</w:t>
            </w:r>
            <w:proofErr w:type="gramEnd"/>
          </w:p>
          <w:p w14:paraId="3B84DD12" w14:textId="086477B9" w:rsidR="00467596" w:rsidRDefault="00C31B06" w:rsidP="00C31B06">
            <w:r>
              <w:t>External customers</w:t>
            </w:r>
            <w:r w:rsidR="00CA4E17">
              <w:t xml:space="preserve"> as noted above. </w:t>
            </w:r>
          </w:p>
          <w:p w14:paraId="15BF08B0" w14:textId="26B0E967" w:rsidR="00C31B06" w:rsidRDefault="00C31B06" w:rsidP="00C31B06">
            <w:r>
              <w:t>Relevant suppliers and external contacts</w:t>
            </w:r>
            <w:r w:rsidR="00CA4E17">
              <w:t xml:space="preserve"> and advisors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5CE5A09D" w:rsidR="00343D93" w:rsidRDefault="00220F33" w:rsidP="00343D93">
            <w:r>
              <w:t>None</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2"/>
        <w:gridCol w:w="3344"/>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1DAD8A4" w14:textId="77777777" w:rsidR="00CA4E17" w:rsidRDefault="00CA4E17" w:rsidP="00CA4E17">
            <w:pPr>
              <w:overflowPunct/>
              <w:autoSpaceDE/>
              <w:autoSpaceDN/>
              <w:adjustRightInd/>
              <w:spacing w:before="0" w:after="21" w:line="251" w:lineRule="auto"/>
              <w:ind w:right="132"/>
              <w:jc w:val="both"/>
              <w:textAlignment w:val="auto"/>
              <w:rPr>
                <w:b/>
              </w:rPr>
            </w:pPr>
            <w:r>
              <w:t>First degree or equivalent.</w:t>
            </w:r>
            <w:r w:rsidRPr="009D68A2">
              <w:rPr>
                <w:b/>
              </w:rPr>
              <w:t xml:space="preserve"> </w:t>
            </w:r>
          </w:p>
          <w:p w14:paraId="63B5BF47" w14:textId="77777777" w:rsidR="00CA4E17" w:rsidRDefault="00CA4E17" w:rsidP="00CA4E17">
            <w:pPr>
              <w:overflowPunct/>
              <w:autoSpaceDE/>
              <w:autoSpaceDN/>
              <w:adjustRightInd/>
              <w:spacing w:before="0" w:after="21" w:line="251" w:lineRule="auto"/>
              <w:ind w:right="132"/>
              <w:jc w:val="both"/>
              <w:textAlignment w:val="auto"/>
            </w:pPr>
            <w:r>
              <w:t>Relevant Professional Accountancy Qualification.</w:t>
            </w:r>
          </w:p>
          <w:p w14:paraId="054FCE1A" w14:textId="00EE8B54" w:rsidR="00CA4E17" w:rsidRDefault="00CA4E17" w:rsidP="00CA4E17">
            <w:pPr>
              <w:overflowPunct/>
              <w:autoSpaceDE/>
              <w:autoSpaceDN/>
              <w:adjustRightInd/>
              <w:spacing w:before="0" w:after="21" w:line="251" w:lineRule="auto"/>
              <w:ind w:right="132"/>
              <w:jc w:val="both"/>
              <w:textAlignment w:val="auto"/>
            </w:pPr>
            <w:r>
              <w:t>Relevant Fraud Qualification.</w:t>
            </w:r>
          </w:p>
          <w:p w14:paraId="6696CC26" w14:textId="77777777" w:rsidR="00CA4E17" w:rsidRDefault="00CA4E17" w:rsidP="00CA4E17">
            <w:pPr>
              <w:overflowPunct/>
              <w:autoSpaceDE/>
              <w:autoSpaceDN/>
              <w:adjustRightInd/>
              <w:spacing w:before="0" w:after="21" w:line="251" w:lineRule="auto"/>
              <w:ind w:right="132"/>
              <w:jc w:val="both"/>
              <w:textAlignment w:val="auto"/>
            </w:pPr>
          </w:p>
          <w:p w14:paraId="2F8B8FDA" w14:textId="77777777" w:rsidR="00CA4E17" w:rsidRDefault="00CA4E17" w:rsidP="00CA4E17">
            <w:pPr>
              <w:overflowPunct/>
              <w:autoSpaceDE/>
              <w:autoSpaceDN/>
              <w:adjustRightInd/>
              <w:spacing w:before="0" w:after="21" w:line="251" w:lineRule="auto"/>
              <w:ind w:right="132"/>
              <w:jc w:val="both"/>
              <w:textAlignment w:val="auto"/>
            </w:pPr>
            <w:r>
              <w:t xml:space="preserve">Senior financial management in a complex, dynamic organisation, ideally with the HE </w:t>
            </w:r>
            <w:proofErr w:type="gramStart"/>
            <w:r>
              <w:t>sector</w:t>
            </w:r>
            <w:proofErr w:type="gramEnd"/>
            <w:r>
              <w:t>.</w:t>
            </w:r>
          </w:p>
          <w:p w14:paraId="47D0C7BE" w14:textId="77777777" w:rsidR="00CA4E17" w:rsidRDefault="00CA4E17" w:rsidP="00CA4E17">
            <w:pPr>
              <w:overflowPunct/>
              <w:autoSpaceDE/>
              <w:autoSpaceDN/>
              <w:adjustRightInd/>
              <w:spacing w:before="0" w:after="21" w:line="251" w:lineRule="auto"/>
              <w:ind w:right="132"/>
              <w:jc w:val="both"/>
              <w:textAlignment w:val="auto"/>
            </w:pPr>
          </w:p>
          <w:p w14:paraId="62F03CA2" w14:textId="45FD3C4D" w:rsidR="00CA4E17" w:rsidRDefault="00CA4E17" w:rsidP="00CA4E17">
            <w:pPr>
              <w:overflowPunct/>
              <w:autoSpaceDE/>
              <w:autoSpaceDN/>
              <w:adjustRightInd/>
              <w:spacing w:before="0" w:after="21" w:line="251" w:lineRule="auto"/>
              <w:ind w:right="132"/>
              <w:jc w:val="both"/>
              <w:textAlignment w:val="auto"/>
            </w:pPr>
            <w:r>
              <w:t>Experience of large financial software systems</w:t>
            </w:r>
            <w:r w:rsidR="002D0384">
              <w:t xml:space="preserve"> enabling standardisation, </w:t>
            </w:r>
            <w:proofErr w:type="gramStart"/>
            <w:r w:rsidR="002D0384">
              <w:t>simplification</w:t>
            </w:r>
            <w:proofErr w:type="gramEnd"/>
            <w:r w:rsidR="002D0384">
              <w:t xml:space="preserve"> and automation of processes</w:t>
            </w:r>
            <w:r w:rsidR="00455C1D">
              <w:t>.</w:t>
            </w:r>
          </w:p>
          <w:p w14:paraId="1593D72A" w14:textId="77777777" w:rsidR="00CA4E17" w:rsidRDefault="00CA4E17" w:rsidP="00CA4E17">
            <w:pPr>
              <w:overflowPunct/>
              <w:autoSpaceDE/>
              <w:autoSpaceDN/>
              <w:adjustRightInd/>
              <w:spacing w:before="0" w:after="21" w:line="251" w:lineRule="auto"/>
              <w:ind w:right="132"/>
              <w:jc w:val="both"/>
              <w:textAlignment w:val="auto"/>
            </w:pPr>
          </w:p>
          <w:p w14:paraId="7AF48EA7" w14:textId="77777777" w:rsidR="00CA4E17" w:rsidRDefault="00CA4E17" w:rsidP="00CA4E17">
            <w:pPr>
              <w:overflowPunct/>
              <w:autoSpaceDE/>
              <w:autoSpaceDN/>
              <w:adjustRightInd/>
              <w:spacing w:before="0" w:after="52" w:line="251" w:lineRule="auto"/>
              <w:ind w:right="132"/>
              <w:jc w:val="both"/>
              <w:textAlignment w:val="auto"/>
            </w:pPr>
            <w:r>
              <w:t xml:space="preserve">Significant technical accounting, pensions, treasury management and reporting knowledge and experience. </w:t>
            </w:r>
          </w:p>
          <w:p w14:paraId="0D8F50CD" w14:textId="77777777" w:rsidR="00CA4E17" w:rsidRDefault="00CA4E17" w:rsidP="00CA4E17">
            <w:pPr>
              <w:overflowPunct/>
              <w:autoSpaceDE/>
              <w:autoSpaceDN/>
              <w:adjustRightInd/>
              <w:spacing w:before="0" w:after="52" w:line="251" w:lineRule="auto"/>
              <w:ind w:right="132"/>
              <w:jc w:val="both"/>
              <w:textAlignment w:val="auto"/>
            </w:pPr>
          </w:p>
          <w:p w14:paraId="13118665" w14:textId="77777777" w:rsidR="00CA4E17" w:rsidRDefault="00CA4E17" w:rsidP="00CA4E17">
            <w:pPr>
              <w:overflowPunct/>
              <w:autoSpaceDE/>
              <w:autoSpaceDN/>
              <w:adjustRightInd/>
              <w:spacing w:before="0" w:after="21" w:line="251" w:lineRule="auto"/>
              <w:ind w:right="132"/>
              <w:jc w:val="both"/>
              <w:textAlignment w:val="auto"/>
            </w:pPr>
            <w:r>
              <w:t xml:space="preserve">Significant knowledge of taxation issues affecting universities. </w:t>
            </w:r>
          </w:p>
          <w:p w14:paraId="25D0F457" w14:textId="77777777" w:rsidR="002D0384" w:rsidRDefault="002D0384" w:rsidP="00CA4E17">
            <w:pPr>
              <w:overflowPunct/>
              <w:autoSpaceDE/>
              <w:autoSpaceDN/>
              <w:adjustRightInd/>
              <w:spacing w:before="0" w:after="21" w:line="251" w:lineRule="auto"/>
              <w:ind w:right="132"/>
              <w:jc w:val="both"/>
              <w:textAlignment w:val="auto"/>
            </w:pPr>
          </w:p>
          <w:p w14:paraId="225D8F8F" w14:textId="77777777" w:rsidR="00CA4E17" w:rsidRDefault="00CA4E17" w:rsidP="00CA4E17">
            <w:pPr>
              <w:overflowPunct/>
              <w:autoSpaceDE/>
              <w:autoSpaceDN/>
              <w:adjustRightInd/>
              <w:spacing w:before="0" w:after="21" w:line="251" w:lineRule="auto"/>
              <w:ind w:right="132"/>
              <w:jc w:val="both"/>
              <w:textAlignment w:val="auto"/>
            </w:pPr>
            <w:r>
              <w:t>Company secretarial knowledge and experience.</w:t>
            </w:r>
          </w:p>
          <w:p w14:paraId="0E49B825" w14:textId="77777777" w:rsidR="00CA4E17" w:rsidRDefault="00CA4E17" w:rsidP="00CA4E17">
            <w:pPr>
              <w:overflowPunct/>
              <w:autoSpaceDE/>
              <w:autoSpaceDN/>
              <w:adjustRightInd/>
              <w:spacing w:before="0" w:after="21" w:line="251" w:lineRule="auto"/>
              <w:ind w:right="132"/>
              <w:jc w:val="both"/>
              <w:textAlignment w:val="auto"/>
            </w:pPr>
          </w:p>
          <w:p w14:paraId="7A5923A2" w14:textId="5E59EE02" w:rsidR="00CA4E17" w:rsidRDefault="00CA4E17" w:rsidP="00CA4E17">
            <w:pPr>
              <w:overflowPunct/>
              <w:autoSpaceDE/>
              <w:autoSpaceDN/>
              <w:adjustRightInd/>
              <w:spacing w:before="0" w:after="21" w:line="251" w:lineRule="auto"/>
              <w:ind w:right="132"/>
              <w:jc w:val="both"/>
              <w:textAlignment w:val="auto"/>
            </w:pPr>
            <w:r>
              <w:t xml:space="preserve">Understanding of </w:t>
            </w:r>
            <w:r w:rsidR="001B0263">
              <w:t xml:space="preserve">managing internal and external </w:t>
            </w:r>
            <w:r>
              <w:t xml:space="preserve">audit practice. </w:t>
            </w:r>
          </w:p>
          <w:p w14:paraId="126D8AAB" w14:textId="77777777" w:rsidR="00CA4E17" w:rsidRDefault="00CA4E17" w:rsidP="00CA4E17">
            <w:pPr>
              <w:overflowPunct/>
              <w:autoSpaceDE/>
              <w:autoSpaceDN/>
              <w:adjustRightInd/>
              <w:spacing w:before="0" w:after="21" w:line="251" w:lineRule="auto"/>
              <w:ind w:right="132"/>
              <w:jc w:val="both"/>
              <w:textAlignment w:val="auto"/>
            </w:pPr>
          </w:p>
          <w:p w14:paraId="423EB6B8" w14:textId="487C8691" w:rsidR="00CA4E17" w:rsidRDefault="00CA4E17" w:rsidP="00CA4E17">
            <w:pPr>
              <w:overflowPunct/>
              <w:autoSpaceDE/>
              <w:autoSpaceDN/>
              <w:adjustRightInd/>
              <w:spacing w:before="0" w:after="21" w:line="251" w:lineRule="auto"/>
              <w:ind w:right="132"/>
              <w:jc w:val="both"/>
              <w:textAlignment w:val="auto"/>
            </w:pPr>
            <w:r>
              <w:t xml:space="preserve">Understanding of risk management and </w:t>
            </w:r>
            <w:r w:rsidR="001B0263">
              <w:t>ensuring an appropriate</w:t>
            </w:r>
            <w:r w:rsidR="00B96AD0">
              <w:t xml:space="preserve"> </w:t>
            </w:r>
            <w:r>
              <w:t>internal financial control</w:t>
            </w:r>
            <w:r w:rsidR="00B96AD0">
              <w:t xml:space="preserve"> environment aligned to accounting standards, the law and within the risk appetite of the University</w:t>
            </w:r>
            <w:r w:rsidR="00455C1D">
              <w:t>.</w:t>
            </w:r>
          </w:p>
          <w:p w14:paraId="51C0F583" w14:textId="77777777" w:rsidR="00CA4E17" w:rsidRDefault="00CA4E17" w:rsidP="00CA4E17">
            <w:pPr>
              <w:overflowPunct/>
              <w:autoSpaceDE/>
              <w:autoSpaceDN/>
              <w:adjustRightInd/>
              <w:spacing w:before="0" w:after="21" w:line="251" w:lineRule="auto"/>
              <w:ind w:right="132"/>
              <w:jc w:val="both"/>
              <w:textAlignment w:val="auto"/>
            </w:pPr>
          </w:p>
          <w:p w14:paraId="30CAF6CB" w14:textId="6FC1F6DF" w:rsidR="00CA4E17" w:rsidRDefault="00CA4E17" w:rsidP="00A75A2E">
            <w:pPr>
              <w:overflowPunct/>
              <w:autoSpaceDE/>
              <w:autoSpaceDN/>
              <w:adjustRightInd/>
              <w:spacing w:before="0" w:after="55" w:line="251" w:lineRule="auto"/>
              <w:ind w:right="132"/>
              <w:jc w:val="both"/>
              <w:textAlignment w:val="auto"/>
            </w:pPr>
            <w:r>
              <w:t xml:space="preserve">Experience of developing budgeting, </w:t>
            </w:r>
            <w:r w:rsidR="003220DB">
              <w:t>forecasting,</w:t>
            </w:r>
            <w:r>
              <w:t xml:space="preserve"> and reporting tools that enable the delivery of strategic priorities.</w:t>
            </w:r>
            <w:r w:rsidR="00A75A2E">
              <w:t xml:space="preserve">  </w:t>
            </w:r>
            <w:r>
              <w:t>Experience of financial modelling and complex financial analysis</w:t>
            </w:r>
          </w:p>
          <w:p w14:paraId="5B62CD3A" w14:textId="77777777" w:rsidR="00A75A2E" w:rsidRDefault="00A75A2E" w:rsidP="00A75A2E">
            <w:pPr>
              <w:overflowPunct/>
              <w:autoSpaceDE/>
              <w:autoSpaceDN/>
              <w:adjustRightInd/>
              <w:spacing w:before="0" w:after="55" w:line="251" w:lineRule="auto"/>
              <w:ind w:right="132"/>
              <w:jc w:val="both"/>
              <w:textAlignment w:val="auto"/>
            </w:pPr>
          </w:p>
          <w:p w14:paraId="15BF08BC" w14:textId="61A27763" w:rsidR="00EE350A" w:rsidRDefault="00F000EA" w:rsidP="00F000EA">
            <w:pPr>
              <w:spacing w:after="90"/>
            </w:pPr>
            <w:r>
              <w:t>Proven leadership experience in a range of demanding and influential roles.</w:t>
            </w:r>
          </w:p>
        </w:tc>
        <w:tc>
          <w:tcPr>
            <w:tcW w:w="3402" w:type="dxa"/>
          </w:tcPr>
          <w:p w14:paraId="0EB73A9C" w14:textId="14E7F0F0" w:rsidR="00CA4E17" w:rsidRDefault="00CA4E17" w:rsidP="00CA4E17">
            <w:pPr>
              <w:overflowPunct/>
              <w:autoSpaceDE/>
              <w:autoSpaceDN/>
              <w:adjustRightInd/>
              <w:spacing w:before="0" w:after="21" w:line="251" w:lineRule="auto"/>
              <w:ind w:right="132"/>
              <w:jc w:val="both"/>
              <w:textAlignment w:val="auto"/>
            </w:pPr>
            <w:r>
              <w:t>Relevant Governance Qualification, Company Secretary.</w:t>
            </w:r>
          </w:p>
          <w:p w14:paraId="15BF08BD" w14:textId="5A63BD73" w:rsidR="004D4966" w:rsidRDefault="004D4966" w:rsidP="00AE2893">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577DFD9E"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46B804E9" w:rsidR="00C83F50" w:rsidRDefault="00F000EA" w:rsidP="00702D64">
            <w:pPr>
              <w:spacing w:after="90"/>
            </w:pPr>
            <w:r w:rsidRPr="00F000EA">
              <w:t>Able to champion and oversee the Department’s contribution to the university’s strategy and to lead on the Department’s strategies and plans.</w:t>
            </w:r>
          </w:p>
        </w:tc>
        <w:tc>
          <w:tcPr>
            <w:tcW w:w="3402" w:type="dxa"/>
          </w:tcPr>
          <w:p w14:paraId="15BF08C2" w14:textId="6FC4BC5F"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21DBF709" w:rsidR="00013C10" w:rsidRPr="00FD5B0E" w:rsidRDefault="00013C10" w:rsidP="00321CAA">
            <w:r w:rsidRPr="00FD5B0E">
              <w:t xml:space="preserve">Problem solving </w:t>
            </w:r>
            <w:r w:rsidR="00746AEB">
              <w:t>and</w:t>
            </w:r>
            <w:r w:rsidRPr="00FD5B0E">
              <w:t xml:space="preserve"> initiative</w:t>
            </w:r>
          </w:p>
        </w:tc>
        <w:tc>
          <w:tcPr>
            <w:tcW w:w="3402" w:type="dxa"/>
          </w:tcPr>
          <w:p w14:paraId="6017FF3B" w14:textId="4B1F8797" w:rsidR="00F000EA" w:rsidRDefault="00F000EA" w:rsidP="00F000EA">
            <w:pPr>
              <w:spacing w:after="90"/>
            </w:pPr>
            <w:r>
              <w:t>Able to make judgements on significant new problems where precedent may not apply.</w:t>
            </w:r>
            <w:r w:rsidR="00CA4E17">
              <w:t xml:space="preserve"> Analytical and results </w:t>
            </w:r>
            <w:proofErr w:type="gramStart"/>
            <w:r w:rsidR="00CA4E17">
              <w:t>orientated</w:t>
            </w:r>
            <w:proofErr w:type="gramEnd"/>
          </w:p>
          <w:p w14:paraId="64091A2A" w14:textId="77777777" w:rsidR="00F000EA" w:rsidRDefault="00F000EA" w:rsidP="00F000EA">
            <w:pPr>
              <w:spacing w:after="90"/>
            </w:pPr>
          </w:p>
          <w:p w14:paraId="15BF08C6" w14:textId="16C022F0" w:rsidR="004D4966" w:rsidRDefault="00F000EA" w:rsidP="00F000EA">
            <w:pPr>
              <w:spacing w:after="90"/>
            </w:pPr>
            <w:r>
              <w:lastRenderedPageBreak/>
              <w:t>Able to develop innovative solutions and practical implementations for strategic change.</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58216BE0" w14:textId="77777777" w:rsidR="00F000EA" w:rsidRDefault="00F000EA" w:rsidP="00F000EA">
            <w:pPr>
              <w:spacing w:after="90"/>
            </w:pPr>
            <w:r>
              <w:t>Able to implement successful change management initiatives and formulate strategic plans that reflect and support the priority needs of the university.</w:t>
            </w:r>
          </w:p>
          <w:p w14:paraId="0FB35267" w14:textId="77777777" w:rsidR="00F000EA" w:rsidRDefault="00F000EA" w:rsidP="00F000EA">
            <w:pPr>
              <w:spacing w:after="90"/>
            </w:pPr>
          </w:p>
          <w:p w14:paraId="153442B9" w14:textId="39B26F42" w:rsidR="00F000EA" w:rsidRDefault="00CA4E17" w:rsidP="00F000EA">
            <w:pPr>
              <w:spacing w:after="90"/>
            </w:pPr>
            <w:r>
              <w:t xml:space="preserve">Experience of developing, </w:t>
            </w:r>
            <w:proofErr w:type="gramStart"/>
            <w:r>
              <w:t>leading</w:t>
            </w:r>
            <w:proofErr w:type="gramEnd"/>
            <w:r>
              <w:t xml:space="preserve"> and managing highly effective teams</w:t>
            </w:r>
            <w:r w:rsidR="00F000EA">
              <w:t>.</w:t>
            </w:r>
          </w:p>
          <w:p w14:paraId="05B4EB48" w14:textId="77777777" w:rsidR="00F000EA" w:rsidRDefault="00F000EA" w:rsidP="00F000EA">
            <w:pPr>
              <w:spacing w:after="90"/>
            </w:pPr>
          </w:p>
          <w:p w14:paraId="15BF08CB" w14:textId="6D6CE5B3" w:rsidR="00C83F50" w:rsidRDefault="00F000EA" w:rsidP="00F000EA">
            <w:pPr>
              <w:spacing w:after="90"/>
            </w:pPr>
            <w:r>
              <w:t>Able to demonstrate leadership and to raise performance standards throughout own work areas.</w:t>
            </w:r>
          </w:p>
        </w:tc>
        <w:tc>
          <w:tcPr>
            <w:tcW w:w="3402" w:type="dxa"/>
          </w:tcPr>
          <w:p w14:paraId="15BF08CC" w14:textId="2CB1C38C" w:rsidR="00013C10" w:rsidRDefault="00013C10" w:rsidP="00057DE4">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6952AC8B" w:rsidR="00013C10" w:rsidRPr="00FD5B0E" w:rsidRDefault="00013C10" w:rsidP="00321CAA">
            <w:r w:rsidRPr="00FD5B0E">
              <w:t xml:space="preserve">Communicating </w:t>
            </w:r>
            <w:r w:rsidR="00746AEB">
              <w:t>and</w:t>
            </w:r>
            <w:r w:rsidRPr="00FD5B0E">
              <w:t xml:space="preserve"> influencing</w:t>
            </w:r>
          </w:p>
        </w:tc>
        <w:tc>
          <w:tcPr>
            <w:tcW w:w="3402" w:type="dxa"/>
          </w:tcPr>
          <w:p w14:paraId="6440423A" w14:textId="77777777" w:rsidR="00F000EA" w:rsidRDefault="00F000EA" w:rsidP="00F000EA">
            <w:pPr>
              <w:spacing w:after="90"/>
            </w:pPr>
            <w:r>
              <w:t>Able to establish and build major relationships with key stakeholders.</w:t>
            </w:r>
          </w:p>
          <w:p w14:paraId="4EA28095" w14:textId="77777777" w:rsidR="00F000EA" w:rsidRDefault="00F000EA" w:rsidP="00F000EA">
            <w:pPr>
              <w:spacing w:after="90"/>
            </w:pPr>
          </w:p>
          <w:p w14:paraId="15BF08D0" w14:textId="0A5088F3" w:rsidR="00C83F50" w:rsidRDefault="00F000EA" w:rsidP="00F000EA">
            <w:pPr>
              <w:spacing w:after="90"/>
            </w:pPr>
            <w:r>
              <w:t>Able to use influence to develop positions or strategies.</w:t>
            </w: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30CBF678" w:rsidR="00013C10" w:rsidRPr="00FD5B0E" w:rsidRDefault="00013C10" w:rsidP="00321CAA">
            <w:r w:rsidRPr="00FD5B0E">
              <w:t xml:space="preserve">Other skills </w:t>
            </w:r>
            <w:r w:rsidR="00746AEB">
              <w:t>and</w:t>
            </w:r>
            <w:r w:rsidRPr="00FD5B0E">
              <w:t xml:space="preserve"> behaviours</w:t>
            </w:r>
          </w:p>
        </w:tc>
        <w:tc>
          <w:tcPr>
            <w:tcW w:w="3402" w:type="dxa"/>
          </w:tcPr>
          <w:p w14:paraId="0A930B12" w14:textId="77777777" w:rsidR="00AE2893" w:rsidRDefault="00AE2893" w:rsidP="00AE2893">
            <w:pPr>
              <w:spacing w:after="90"/>
            </w:pPr>
            <w:r>
              <w:t xml:space="preserve">Ability to lead and manage change through an </w:t>
            </w:r>
            <w:proofErr w:type="gramStart"/>
            <w:r>
              <w:t>organisation</w:t>
            </w:r>
            <w:proofErr w:type="gramEnd"/>
          </w:p>
          <w:p w14:paraId="461C78B9" w14:textId="77777777" w:rsidR="00AE2893" w:rsidRDefault="00AE2893" w:rsidP="00AE2893">
            <w:pPr>
              <w:spacing w:after="90"/>
            </w:pPr>
          </w:p>
          <w:p w14:paraId="15BF08D5" w14:textId="4D501A1D" w:rsidR="00013C10" w:rsidRDefault="00AE2893" w:rsidP="00AE2893">
            <w:pPr>
              <w:spacing w:after="90"/>
            </w:pPr>
            <w:r>
              <w:t>Able to demonstrate alignment with the University’s core values in all areas of work, and champion those behaviours in the Department</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73C09BA" w:rsidR="00013C10" w:rsidRDefault="00220F33" w:rsidP="00343D93">
            <w:pPr>
              <w:spacing w:after="90"/>
            </w:pPr>
            <w:r>
              <w:t>None</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721A230" w:rsidR="00D3349E" w:rsidRDefault="004B2EDA" w:rsidP="00E264FD">
            <w:sdt>
              <w:sdtPr>
                <w:id w:val="579254332"/>
                <w14:checkbox>
                  <w14:checked w14:val="1"/>
                  <w14:checkedState w14:val="2612" w14:font="MS Gothic"/>
                  <w14:uncheckedState w14:val="2610" w14:font="MS Gothic"/>
                </w14:checkbox>
              </w:sdtPr>
              <w:sdtEndPr/>
              <w:sdtContent>
                <w:r w:rsidR="000E466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B2ED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3F5D" w14:textId="77777777" w:rsidR="008077CD" w:rsidRDefault="008077CD">
      <w:r>
        <w:separator/>
      </w:r>
    </w:p>
    <w:p w14:paraId="33B5A788" w14:textId="77777777" w:rsidR="008077CD" w:rsidRDefault="008077CD"/>
  </w:endnote>
  <w:endnote w:type="continuationSeparator" w:id="0">
    <w:p w14:paraId="309715EF" w14:textId="77777777" w:rsidR="008077CD" w:rsidRDefault="008077CD">
      <w:r>
        <w:continuationSeparator/>
      </w:r>
    </w:p>
    <w:p w14:paraId="2F314CF0" w14:textId="77777777" w:rsidR="008077CD" w:rsidRDefault="00807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99226C1" w:rsidR="00062768" w:rsidRDefault="00007574" w:rsidP="00FE47BF">
    <w:pPr>
      <w:pStyle w:val="ContinuationFooter"/>
    </w:pPr>
    <w:fldSimple w:instr=" FILENAME   \* MERGEFORMAT ">
      <w:r w:rsidR="0058649C">
        <w:t xml:space="preserve">Group Financial Controller JD </w:t>
      </w:r>
    </w:fldSimple>
    <w:r w:rsidR="00CB1F23">
      <w:ptab w:relativeTo="margin" w:alignment="right" w:leader="none"/>
    </w:r>
    <w:r w:rsidR="00CB1F23">
      <w:fldChar w:fldCharType="begin"/>
    </w:r>
    <w:r w:rsidR="00CB1F23">
      <w:instrText xml:space="preserve"> PAGE   \* MERGEFORMAT </w:instrText>
    </w:r>
    <w:r w:rsidR="00CB1F23">
      <w:fldChar w:fldCharType="separate"/>
    </w:r>
    <w:r w:rsidR="00CD78B9">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37B3" w14:textId="77777777" w:rsidR="008077CD" w:rsidRDefault="008077CD">
      <w:r>
        <w:separator/>
      </w:r>
    </w:p>
    <w:p w14:paraId="7579BD25" w14:textId="77777777" w:rsidR="008077CD" w:rsidRDefault="008077CD"/>
  </w:footnote>
  <w:footnote w:type="continuationSeparator" w:id="0">
    <w:p w14:paraId="4E07B947" w14:textId="77777777" w:rsidR="008077CD" w:rsidRDefault="008077CD">
      <w:r>
        <w:continuationSeparator/>
      </w:r>
    </w:p>
    <w:p w14:paraId="195BAC44" w14:textId="77777777" w:rsidR="008077CD" w:rsidRDefault="00807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8" w:type="dxa"/>
      <w:tblLayout w:type="fixed"/>
      <w:tblCellMar>
        <w:left w:w="0" w:type="dxa"/>
        <w:right w:w="0" w:type="dxa"/>
      </w:tblCellMar>
      <w:tblLook w:val="00A0" w:firstRow="1" w:lastRow="0" w:firstColumn="1" w:lastColumn="0" w:noHBand="0" w:noVBand="0"/>
    </w:tblPr>
    <w:tblGrid>
      <w:gridCol w:w="9668"/>
    </w:tblGrid>
    <w:tr w:rsidR="00062768" w14:paraId="15BF0981" w14:textId="77777777" w:rsidTr="00CD78B9">
      <w:trPr>
        <w:trHeight w:hRule="exact" w:val="83"/>
      </w:trPr>
      <w:tc>
        <w:tcPr>
          <w:tcW w:w="9668" w:type="dxa"/>
        </w:tcPr>
        <w:p w14:paraId="15BF0980" w14:textId="77777777" w:rsidR="00062768" w:rsidRDefault="00062768" w:rsidP="0029789A">
          <w:pPr>
            <w:pStyle w:val="Header"/>
          </w:pPr>
        </w:p>
      </w:tc>
    </w:tr>
    <w:tr w:rsidR="00062768" w14:paraId="15BF0983" w14:textId="77777777" w:rsidTr="00CD78B9">
      <w:trPr>
        <w:trHeight w:val="436"/>
      </w:trPr>
      <w:tc>
        <w:tcPr>
          <w:tcW w:w="9668"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537BE6B" w:rsidR="0005274A" w:rsidRPr="0005274A" w:rsidRDefault="00F84583" w:rsidP="00CD78B9">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562096"/>
    <w:multiLevelType w:val="hybridMultilevel"/>
    <w:tmpl w:val="0ED2FA74"/>
    <w:lvl w:ilvl="0" w:tplc="7710FED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63D96">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7C45E6">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C4EF2">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086B1C">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EE6530">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56DED4">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FCA94C">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D4A542">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77353486">
    <w:abstractNumId w:val="18"/>
  </w:num>
  <w:num w:numId="2" w16cid:durableId="234635263">
    <w:abstractNumId w:val="0"/>
  </w:num>
  <w:num w:numId="3" w16cid:durableId="471561456">
    <w:abstractNumId w:val="14"/>
  </w:num>
  <w:num w:numId="4" w16cid:durableId="1793816949">
    <w:abstractNumId w:val="9"/>
  </w:num>
  <w:num w:numId="5" w16cid:durableId="1814323484">
    <w:abstractNumId w:val="10"/>
  </w:num>
  <w:num w:numId="6" w16cid:durableId="1024745220">
    <w:abstractNumId w:val="7"/>
  </w:num>
  <w:num w:numId="7" w16cid:durableId="800463467">
    <w:abstractNumId w:val="3"/>
  </w:num>
  <w:num w:numId="8" w16cid:durableId="930703421">
    <w:abstractNumId w:val="5"/>
  </w:num>
  <w:num w:numId="9" w16cid:durableId="819464204">
    <w:abstractNumId w:val="1"/>
  </w:num>
  <w:num w:numId="10" w16cid:durableId="639267061">
    <w:abstractNumId w:val="8"/>
  </w:num>
  <w:num w:numId="11" w16cid:durableId="1005981812">
    <w:abstractNumId w:val="4"/>
  </w:num>
  <w:num w:numId="12" w16cid:durableId="898983377">
    <w:abstractNumId w:val="15"/>
  </w:num>
  <w:num w:numId="13" w16cid:durableId="192111871">
    <w:abstractNumId w:val="16"/>
  </w:num>
  <w:num w:numId="14" w16cid:durableId="72164603">
    <w:abstractNumId w:val="6"/>
  </w:num>
  <w:num w:numId="15" w16cid:durableId="273561118">
    <w:abstractNumId w:val="2"/>
  </w:num>
  <w:num w:numId="16" w16cid:durableId="112216697">
    <w:abstractNumId w:val="12"/>
  </w:num>
  <w:num w:numId="17" w16cid:durableId="1430808629">
    <w:abstractNumId w:val="13"/>
  </w:num>
  <w:num w:numId="18" w16cid:durableId="208104601">
    <w:abstractNumId w:val="17"/>
  </w:num>
  <w:num w:numId="19" w16cid:durableId="12963682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7574"/>
    <w:rsid w:val="00013C10"/>
    <w:rsid w:val="00015087"/>
    <w:rsid w:val="0005274A"/>
    <w:rsid w:val="00057DE4"/>
    <w:rsid w:val="00062768"/>
    <w:rsid w:val="00063081"/>
    <w:rsid w:val="00066675"/>
    <w:rsid w:val="00071653"/>
    <w:rsid w:val="000824F4"/>
    <w:rsid w:val="00093ED5"/>
    <w:rsid w:val="000978E8"/>
    <w:rsid w:val="000B1DED"/>
    <w:rsid w:val="000B4E5A"/>
    <w:rsid w:val="000D2771"/>
    <w:rsid w:val="000E4663"/>
    <w:rsid w:val="00102BCB"/>
    <w:rsid w:val="00107363"/>
    <w:rsid w:val="0012209D"/>
    <w:rsid w:val="00137EC5"/>
    <w:rsid w:val="001532E2"/>
    <w:rsid w:val="00156CBF"/>
    <w:rsid w:val="00156F2F"/>
    <w:rsid w:val="001717BA"/>
    <w:rsid w:val="0018144C"/>
    <w:rsid w:val="001840EA"/>
    <w:rsid w:val="001B0263"/>
    <w:rsid w:val="001B6986"/>
    <w:rsid w:val="001C1146"/>
    <w:rsid w:val="001C5C5C"/>
    <w:rsid w:val="001D0B37"/>
    <w:rsid w:val="001D5201"/>
    <w:rsid w:val="001E24BE"/>
    <w:rsid w:val="001E7484"/>
    <w:rsid w:val="00205458"/>
    <w:rsid w:val="00220F33"/>
    <w:rsid w:val="00236BFE"/>
    <w:rsid w:val="00241441"/>
    <w:rsid w:val="0024539C"/>
    <w:rsid w:val="00254722"/>
    <w:rsid w:val="002547F5"/>
    <w:rsid w:val="00260333"/>
    <w:rsid w:val="00260B1D"/>
    <w:rsid w:val="00266C6A"/>
    <w:rsid w:val="0028509A"/>
    <w:rsid w:val="00287575"/>
    <w:rsid w:val="0029789A"/>
    <w:rsid w:val="002A70BE"/>
    <w:rsid w:val="002C6198"/>
    <w:rsid w:val="002D0384"/>
    <w:rsid w:val="002D4DF4"/>
    <w:rsid w:val="002E7C28"/>
    <w:rsid w:val="00304A82"/>
    <w:rsid w:val="00312C9E"/>
    <w:rsid w:val="00313CC8"/>
    <w:rsid w:val="003178D9"/>
    <w:rsid w:val="003207F7"/>
    <w:rsid w:val="003220DB"/>
    <w:rsid w:val="00323B91"/>
    <w:rsid w:val="0034151E"/>
    <w:rsid w:val="00343B25"/>
    <w:rsid w:val="00343D93"/>
    <w:rsid w:val="00355C12"/>
    <w:rsid w:val="00364B2C"/>
    <w:rsid w:val="003701F7"/>
    <w:rsid w:val="00385622"/>
    <w:rsid w:val="003A2001"/>
    <w:rsid w:val="003B0262"/>
    <w:rsid w:val="003B7540"/>
    <w:rsid w:val="003E46C7"/>
    <w:rsid w:val="003F50FB"/>
    <w:rsid w:val="004022C1"/>
    <w:rsid w:val="004263FE"/>
    <w:rsid w:val="00455C1D"/>
    <w:rsid w:val="00463797"/>
    <w:rsid w:val="00467596"/>
    <w:rsid w:val="00474D00"/>
    <w:rsid w:val="004A132F"/>
    <w:rsid w:val="004B2A50"/>
    <w:rsid w:val="004C0252"/>
    <w:rsid w:val="004D4966"/>
    <w:rsid w:val="0051744C"/>
    <w:rsid w:val="00524005"/>
    <w:rsid w:val="00525C5B"/>
    <w:rsid w:val="00541CE0"/>
    <w:rsid w:val="005455B4"/>
    <w:rsid w:val="005534E1"/>
    <w:rsid w:val="00556D3C"/>
    <w:rsid w:val="00573487"/>
    <w:rsid w:val="00573785"/>
    <w:rsid w:val="00580CBF"/>
    <w:rsid w:val="0058649C"/>
    <w:rsid w:val="005907B3"/>
    <w:rsid w:val="005949FA"/>
    <w:rsid w:val="005967B1"/>
    <w:rsid w:val="005D3265"/>
    <w:rsid w:val="005D44D1"/>
    <w:rsid w:val="005E13E1"/>
    <w:rsid w:val="00601F61"/>
    <w:rsid w:val="0061289C"/>
    <w:rsid w:val="00617FAD"/>
    <w:rsid w:val="006249FD"/>
    <w:rsid w:val="006457FD"/>
    <w:rsid w:val="006460A3"/>
    <w:rsid w:val="00651280"/>
    <w:rsid w:val="0065560D"/>
    <w:rsid w:val="00671F76"/>
    <w:rsid w:val="00680547"/>
    <w:rsid w:val="00695D76"/>
    <w:rsid w:val="006B1AF6"/>
    <w:rsid w:val="006F44EB"/>
    <w:rsid w:val="00702D64"/>
    <w:rsid w:val="0070376B"/>
    <w:rsid w:val="00746AEB"/>
    <w:rsid w:val="00761108"/>
    <w:rsid w:val="00791076"/>
    <w:rsid w:val="0079197B"/>
    <w:rsid w:val="00791A2A"/>
    <w:rsid w:val="007A5F08"/>
    <w:rsid w:val="007C22CC"/>
    <w:rsid w:val="007C6FAA"/>
    <w:rsid w:val="007E2B5B"/>
    <w:rsid w:val="007E2D19"/>
    <w:rsid w:val="007F2AEA"/>
    <w:rsid w:val="008077CD"/>
    <w:rsid w:val="00813365"/>
    <w:rsid w:val="00813A2C"/>
    <w:rsid w:val="0082020C"/>
    <w:rsid w:val="0082075E"/>
    <w:rsid w:val="008443D8"/>
    <w:rsid w:val="00854B1E"/>
    <w:rsid w:val="00856B8A"/>
    <w:rsid w:val="00876272"/>
    <w:rsid w:val="00883499"/>
    <w:rsid w:val="00883E63"/>
    <w:rsid w:val="00885FD1"/>
    <w:rsid w:val="008961F9"/>
    <w:rsid w:val="008D52C9"/>
    <w:rsid w:val="008F03C7"/>
    <w:rsid w:val="009064A9"/>
    <w:rsid w:val="009419A4"/>
    <w:rsid w:val="00945F4B"/>
    <w:rsid w:val="009464AF"/>
    <w:rsid w:val="00954E47"/>
    <w:rsid w:val="00965BFB"/>
    <w:rsid w:val="00967DA7"/>
    <w:rsid w:val="00970E28"/>
    <w:rsid w:val="0098120F"/>
    <w:rsid w:val="009858DE"/>
    <w:rsid w:val="00996476"/>
    <w:rsid w:val="009C0310"/>
    <w:rsid w:val="009C1EC5"/>
    <w:rsid w:val="009D5E8D"/>
    <w:rsid w:val="00A021B7"/>
    <w:rsid w:val="00A07341"/>
    <w:rsid w:val="00A07431"/>
    <w:rsid w:val="00A131D9"/>
    <w:rsid w:val="00A14888"/>
    <w:rsid w:val="00A23226"/>
    <w:rsid w:val="00A34296"/>
    <w:rsid w:val="00A521A9"/>
    <w:rsid w:val="00A7244A"/>
    <w:rsid w:val="00A75A2E"/>
    <w:rsid w:val="00A925C0"/>
    <w:rsid w:val="00AA3CB5"/>
    <w:rsid w:val="00AC2B17"/>
    <w:rsid w:val="00AC71CB"/>
    <w:rsid w:val="00AE1041"/>
    <w:rsid w:val="00AE1CA0"/>
    <w:rsid w:val="00AE2893"/>
    <w:rsid w:val="00AE39DC"/>
    <w:rsid w:val="00AE4DC4"/>
    <w:rsid w:val="00AF0C5B"/>
    <w:rsid w:val="00B02F38"/>
    <w:rsid w:val="00B430BB"/>
    <w:rsid w:val="00B84C12"/>
    <w:rsid w:val="00B96AD0"/>
    <w:rsid w:val="00BB4A42"/>
    <w:rsid w:val="00BB7845"/>
    <w:rsid w:val="00BF1CC6"/>
    <w:rsid w:val="00C067C7"/>
    <w:rsid w:val="00C17FDD"/>
    <w:rsid w:val="00C31B06"/>
    <w:rsid w:val="00C31C8C"/>
    <w:rsid w:val="00C82B61"/>
    <w:rsid w:val="00C83F50"/>
    <w:rsid w:val="00C907D0"/>
    <w:rsid w:val="00CA3574"/>
    <w:rsid w:val="00CA4E17"/>
    <w:rsid w:val="00CA7432"/>
    <w:rsid w:val="00CB1F23"/>
    <w:rsid w:val="00CD04F0"/>
    <w:rsid w:val="00CD159C"/>
    <w:rsid w:val="00CD78B9"/>
    <w:rsid w:val="00CE3A26"/>
    <w:rsid w:val="00D16D9D"/>
    <w:rsid w:val="00D3349E"/>
    <w:rsid w:val="00D50678"/>
    <w:rsid w:val="00D54AA2"/>
    <w:rsid w:val="00D55315"/>
    <w:rsid w:val="00D5587F"/>
    <w:rsid w:val="00D6099D"/>
    <w:rsid w:val="00D65B56"/>
    <w:rsid w:val="00D67D41"/>
    <w:rsid w:val="00D73BB9"/>
    <w:rsid w:val="00DC1CE3"/>
    <w:rsid w:val="00DC4386"/>
    <w:rsid w:val="00DE553C"/>
    <w:rsid w:val="00DF1698"/>
    <w:rsid w:val="00E01106"/>
    <w:rsid w:val="00E23E66"/>
    <w:rsid w:val="00E25775"/>
    <w:rsid w:val="00E264FD"/>
    <w:rsid w:val="00E363B8"/>
    <w:rsid w:val="00E37792"/>
    <w:rsid w:val="00E63AC1"/>
    <w:rsid w:val="00E817D7"/>
    <w:rsid w:val="00E96015"/>
    <w:rsid w:val="00EB589D"/>
    <w:rsid w:val="00EC3B59"/>
    <w:rsid w:val="00ED2E52"/>
    <w:rsid w:val="00EE13FB"/>
    <w:rsid w:val="00EE350A"/>
    <w:rsid w:val="00F000EA"/>
    <w:rsid w:val="00F01EA0"/>
    <w:rsid w:val="00F135E0"/>
    <w:rsid w:val="00F26173"/>
    <w:rsid w:val="00F378D2"/>
    <w:rsid w:val="00F470C9"/>
    <w:rsid w:val="00F56FF5"/>
    <w:rsid w:val="00F84583"/>
    <w:rsid w:val="00F85DED"/>
    <w:rsid w:val="00F90F90"/>
    <w:rsid w:val="00FB5A25"/>
    <w:rsid w:val="00FB7297"/>
    <w:rsid w:val="00FC2ADA"/>
    <w:rsid w:val="00FE47BF"/>
    <w:rsid w:val="00FF140B"/>
    <w:rsid w:val="00FF246F"/>
    <w:rsid w:val="14EE4132"/>
    <w:rsid w:val="73170E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9C1EC5"/>
  </w:style>
  <w:style w:type="character" w:customStyle="1" w:styleId="eop">
    <w:name w:val="eop"/>
    <w:basedOn w:val="DefaultParagraphFont"/>
    <w:rsid w:val="009C1EC5"/>
  </w:style>
  <w:style w:type="paragraph" w:styleId="Revision">
    <w:name w:val="Revision"/>
    <w:hidden/>
    <w:uiPriority w:val="99"/>
    <w:semiHidden/>
    <w:rsid w:val="00E23E66"/>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UniversityofSouthampton-VisasandImmigration/SitePages/Occupation-Code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309C7-68EF-493B-A367-F3387539BE03}">
  <ds:schemaRefs>
    <ds:schemaRef ds:uri="http://schemas.openxmlformats.org/officeDocument/2006/bibliography"/>
  </ds:schemaRefs>
</ds:datastoreItem>
</file>

<file path=customXml/itemProps2.xml><?xml version="1.0" encoding="utf-8"?>
<ds:datastoreItem xmlns:ds="http://schemas.openxmlformats.org/officeDocument/2006/customXml" ds:itemID="{29302B9E-45C5-40B5-BA3A-E461D1964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Charlotte Solway</cp:lastModifiedBy>
  <cp:revision>2</cp:revision>
  <cp:lastPrinted>2024-06-04T16:36:00Z</cp:lastPrinted>
  <dcterms:created xsi:type="dcterms:W3CDTF">2024-06-24T12:46:00Z</dcterms:created>
  <dcterms:modified xsi:type="dcterms:W3CDTF">2024-06-24T12:46:00Z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